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03" w:rsidRDefault="007F0DBF" w:rsidP="007F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BHM 2024 –“History”</w:t>
      </w:r>
    </w:p>
    <w:p w:rsidR="009414E6" w:rsidRDefault="009414E6" w:rsidP="009414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  <w:r w:rsidRPr="009414E6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Buxton National Historic Site and Museum</w:t>
      </w:r>
    </w:p>
    <w:p w:rsidR="009414E6" w:rsidRDefault="009414E6" w:rsidP="009414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9414E6" w:rsidRPr="009414E6" w:rsidRDefault="009414E6" w:rsidP="009414E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414E6">
        <w:rPr>
          <w:rFonts w:ascii="Arial" w:hAnsi="Arial" w:cs="Arial"/>
          <w:color w:val="202122"/>
          <w:sz w:val="22"/>
          <w:szCs w:val="22"/>
        </w:rPr>
        <w:t>The</w:t>
      </w:r>
      <w:r>
        <w:rPr>
          <w:rFonts w:ascii="Arial" w:hAnsi="Arial" w:cs="Arial"/>
          <w:color w:val="202122"/>
          <w:sz w:val="14"/>
          <w:szCs w:val="14"/>
        </w:rPr>
        <w:t> </w:t>
      </w:r>
      <w:r w:rsidRPr="009414E6">
        <w:rPr>
          <w:rFonts w:ascii="Arial" w:hAnsi="Arial" w:cs="Arial"/>
          <w:b/>
          <w:bCs/>
          <w:color w:val="202122"/>
        </w:rPr>
        <w:t>Buxton National Historic Site and Museum</w:t>
      </w:r>
      <w:r>
        <w:rPr>
          <w:rFonts w:ascii="Arial" w:hAnsi="Arial" w:cs="Arial"/>
          <w:color w:val="202122"/>
          <w:sz w:val="14"/>
          <w:szCs w:val="14"/>
        </w:rPr>
        <w:t> </w:t>
      </w:r>
      <w:r w:rsidRPr="009414E6">
        <w:rPr>
          <w:rFonts w:ascii="Arial" w:hAnsi="Arial" w:cs="Arial"/>
          <w:color w:val="202122"/>
          <w:sz w:val="22"/>
          <w:szCs w:val="22"/>
        </w:rPr>
        <w:t>is a tribute to the </w:t>
      </w:r>
      <w:r w:rsidRPr="009414E6">
        <w:rPr>
          <w:rFonts w:ascii="Arial" w:hAnsi="Arial" w:cs="Arial"/>
          <w:b/>
          <w:bCs/>
          <w:color w:val="202122"/>
          <w:sz w:val="22"/>
          <w:szCs w:val="22"/>
        </w:rPr>
        <w:t>Elgin Settlement</w:t>
      </w:r>
      <w:r w:rsidRPr="009414E6">
        <w:rPr>
          <w:rFonts w:ascii="Arial" w:hAnsi="Arial" w:cs="Arial"/>
          <w:color w:val="202122"/>
          <w:sz w:val="22"/>
          <w:szCs w:val="22"/>
        </w:rPr>
        <w:t> (also known as the </w:t>
      </w:r>
      <w:r w:rsidRPr="009414E6">
        <w:rPr>
          <w:rFonts w:ascii="Arial" w:hAnsi="Arial" w:cs="Arial"/>
          <w:b/>
          <w:bCs/>
          <w:color w:val="202122"/>
          <w:sz w:val="22"/>
          <w:szCs w:val="22"/>
        </w:rPr>
        <w:t>Buxton Mission</w:t>
      </w:r>
      <w:r w:rsidRPr="009414E6">
        <w:rPr>
          <w:rFonts w:ascii="Arial" w:hAnsi="Arial" w:cs="Arial"/>
          <w:color w:val="202122"/>
          <w:sz w:val="22"/>
          <w:szCs w:val="22"/>
        </w:rPr>
        <w:t>, Raleigh, Kent County), established in 1849 by Reverend </w:t>
      </w:r>
      <w:hyperlink r:id="rId4" w:tooltip="William King (minister)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William King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 (1812–1895),</w:t>
      </w:r>
      <w:hyperlink r:id="rId5" w:anchor="cite_note-Hist1919-1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: 40 </w:t>
      </w:r>
      <w:r w:rsidRPr="009414E6">
        <w:rPr>
          <w:rFonts w:ascii="Arial" w:hAnsi="Arial" w:cs="Arial"/>
          <w:color w:val="202122"/>
          <w:sz w:val="22"/>
          <w:szCs w:val="22"/>
        </w:rPr>
        <w:t> and an association which included </w:t>
      </w:r>
      <w:hyperlink r:id="rId6" w:tooltip="James Bruce, 8th Earl of Elgin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Lord Elgin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, then the </w:t>
      </w:r>
      <w:hyperlink r:id="rId7" w:tooltip="Governor General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Governor General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 of Canada. King, a former slave owner turned abolitionist, purchased 9,000 acres (36 km</w:t>
      </w:r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2</w:t>
      </w:r>
      <w:r w:rsidRPr="009414E6">
        <w:rPr>
          <w:rFonts w:ascii="Arial" w:hAnsi="Arial" w:cs="Arial"/>
          <w:color w:val="202122"/>
          <w:sz w:val="22"/>
          <w:szCs w:val="22"/>
        </w:rPr>
        <w:t>) of crown land in </w:t>
      </w:r>
      <w:hyperlink r:id="rId8" w:tooltip="Southwestern Ontario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Southwestern Ontario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 and created a haven for fugitive slaves and free Blacks.</w:t>
      </w:r>
      <w:hyperlink r:id="rId9" w:anchor="cite_note-Hist1919-1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: 41 </w:t>
      </w:r>
    </w:p>
    <w:p w:rsidR="009414E6" w:rsidRDefault="009414E6" w:rsidP="009414E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  <w:vertAlign w:val="superscript"/>
        </w:rPr>
      </w:pPr>
      <w:r w:rsidRPr="009414E6">
        <w:rPr>
          <w:rFonts w:ascii="Arial" w:hAnsi="Arial" w:cs="Arial"/>
          <w:color w:val="202122"/>
          <w:sz w:val="22"/>
          <w:szCs w:val="22"/>
        </w:rPr>
        <w:t>King brought fifteen of his former slaves with him,</w:t>
      </w:r>
      <w:hyperlink r:id="rId10" w:anchor="cite_note-Hist1915-2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[2]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: 11 </w:t>
      </w:r>
      <w:r w:rsidRPr="009414E6">
        <w:rPr>
          <w:rFonts w:ascii="Arial" w:hAnsi="Arial" w:cs="Arial"/>
          <w:color w:val="202122"/>
          <w:sz w:val="22"/>
          <w:szCs w:val="22"/>
        </w:rPr>
        <w:t> where they could live a free life.</w:t>
      </w:r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[</w:t>
      </w:r>
      <w:hyperlink r:id="rId11" w:tooltip="Wikipedia:Citation needed" w:history="1">
        <w:r w:rsidRPr="009414E6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vertAlign w:val="superscript"/>
          </w:rPr>
          <w:t>citation needed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]</w:t>
      </w:r>
      <w:r w:rsidRPr="009414E6">
        <w:rPr>
          <w:rFonts w:ascii="Arial" w:hAnsi="Arial" w:cs="Arial"/>
          <w:color w:val="202122"/>
          <w:sz w:val="22"/>
          <w:szCs w:val="22"/>
        </w:rPr>
        <w:t> The Elgin settlement was divided into 50-acre (200,000 m</w:t>
      </w:r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2</w:t>
      </w:r>
      <w:r w:rsidRPr="009414E6">
        <w:rPr>
          <w:rFonts w:ascii="Arial" w:hAnsi="Arial" w:cs="Arial"/>
          <w:color w:val="202122"/>
          <w:sz w:val="22"/>
          <w:szCs w:val="22"/>
        </w:rPr>
        <w:t>) lots, intended with one house on each farm lot.</w:t>
      </w:r>
      <w:hyperlink r:id="rId12" w:anchor="cite_note-Hist1919-1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: 40</w:t>
      </w:r>
      <w:proofErr w:type="gramStart"/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 </w:t>
      </w:r>
      <w:r w:rsidRPr="009414E6">
        <w:rPr>
          <w:rFonts w:ascii="Arial" w:hAnsi="Arial" w:cs="Arial"/>
          <w:color w:val="202122"/>
          <w:sz w:val="22"/>
          <w:szCs w:val="22"/>
        </w:rPr>
        <w:t> These</w:t>
      </w:r>
      <w:proofErr w:type="gramEnd"/>
      <w:r w:rsidRPr="009414E6">
        <w:rPr>
          <w:rFonts w:ascii="Arial" w:hAnsi="Arial" w:cs="Arial"/>
          <w:color w:val="202122"/>
          <w:sz w:val="22"/>
          <w:szCs w:val="22"/>
        </w:rPr>
        <w:t xml:space="preserve"> sold for $2.50/acre, with six percent interest, and could be paid over the course of ten years. By 1864, there was a steam grist mill, steam saw-mill, shoe shop, two general stores, a blacksmith, cooperage, school with forty students on average, and a church (24 by 32 feet (7.3 m × 9.8 m)) seating 200.</w:t>
      </w:r>
      <w:hyperlink r:id="rId13" w:anchor="cite_note-Hist1919-1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: 40 </w:t>
      </w:r>
      <w:r w:rsidRPr="009414E6">
        <w:rPr>
          <w:rFonts w:ascii="Arial" w:hAnsi="Arial" w:cs="Arial"/>
          <w:color w:val="202122"/>
          <w:sz w:val="22"/>
          <w:szCs w:val="22"/>
        </w:rPr>
        <w:t> For many fugitive slaves, the Buxton settlement was the final stop on the </w:t>
      </w:r>
      <w:hyperlink r:id="rId14" w:tooltip="Underground Railroad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Underground Railroad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 from the United States – of the twenty-five terminal stations in Canada, seven were in the counties of </w:t>
      </w:r>
      <w:hyperlink r:id="rId15" w:tooltip="Kent County, Ontario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Kent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 or </w:t>
      </w:r>
      <w:hyperlink r:id="rId16" w:tooltip="Essex County, Ontario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Essex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.</w:t>
      </w:r>
      <w:hyperlink r:id="rId17" w:anchor="cite_note-Hist1915-2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[2]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: 11 </w:t>
      </w:r>
    </w:p>
    <w:p w:rsidR="009414E6" w:rsidRPr="009414E6" w:rsidRDefault="009414E6" w:rsidP="009414E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414E6">
        <w:rPr>
          <w:rFonts w:ascii="Arial" w:hAnsi="Arial" w:cs="Arial"/>
          <w:color w:val="202122"/>
          <w:sz w:val="22"/>
          <w:szCs w:val="22"/>
        </w:rPr>
        <w:t xml:space="preserve">The need for the mission was considered no longer and the Buxton Mission Fund was closed by 1865 when </w:t>
      </w:r>
      <w:proofErr w:type="spellStart"/>
      <w:r w:rsidRPr="009414E6">
        <w:rPr>
          <w:rFonts w:ascii="Arial" w:hAnsi="Arial" w:cs="Arial"/>
          <w:color w:val="202122"/>
          <w:sz w:val="22"/>
          <w:szCs w:val="22"/>
        </w:rPr>
        <w:t>'the</w:t>
      </w:r>
      <w:proofErr w:type="spellEnd"/>
      <w:r w:rsidRPr="009414E6">
        <w:rPr>
          <w:rFonts w:ascii="Arial" w:hAnsi="Arial" w:cs="Arial"/>
          <w:color w:val="202122"/>
          <w:sz w:val="22"/>
          <w:szCs w:val="22"/>
        </w:rPr>
        <w:t xml:space="preserve"> liberty of the slaves was proclaimed' at the end of the </w:t>
      </w:r>
      <w:hyperlink r:id="rId18" w:tooltip="American Civil War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American Civil War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.</w:t>
      </w:r>
      <w:hyperlink r:id="rId19" w:anchor="cite_note-Hist1919-1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9414E6">
        <w:rPr>
          <w:rFonts w:ascii="Arial" w:hAnsi="Arial" w:cs="Arial"/>
          <w:color w:val="202122"/>
          <w:sz w:val="22"/>
          <w:szCs w:val="22"/>
          <w:vertAlign w:val="superscript"/>
        </w:rPr>
        <w:t>: 42–43 </w:t>
      </w:r>
    </w:p>
    <w:p w:rsidR="009414E6" w:rsidRPr="009414E6" w:rsidRDefault="009414E6" w:rsidP="009414E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414E6">
        <w:rPr>
          <w:rFonts w:ascii="Arial" w:hAnsi="Arial" w:cs="Arial"/>
          <w:color w:val="202122"/>
          <w:sz w:val="22"/>
          <w:szCs w:val="22"/>
        </w:rPr>
        <w:t>Opened in 1967, the museum complex includes the main building with exhibits about the community and its history, an 1861 schoolhouse, an 1854 log cabin, and a barn. Local historic church cemeteries are adjacent to the museum. The museum is located in </w:t>
      </w:r>
      <w:hyperlink r:id="rId20" w:tooltip="North Buxton, Ontario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North Buxton, Ontario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, near </w:t>
      </w:r>
      <w:hyperlink r:id="rId21" w:tooltip="South Buxton, Ontario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South Buxton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 in </w:t>
      </w:r>
      <w:hyperlink r:id="rId22" w:tooltip="Chatham-Kent, Ontario" w:history="1">
        <w:r w:rsidRPr="009414E6">
          <w:rPr>
            <w:rStyle w:val="Hyperlink"/>
            <w:rFonts w:ascii="Arial" w:hAnsi="Arial" w:cs="Arial"/>
            <w:color w:val="3366CC"/>
            <w:sz w:val="22"/>
            <w:szCs w:val="22"/>
          </w:rPr>
          <w:t>Chatham-Kent</w:t>
        </w:r>
      </w:hyperlink>
      <w:r w:rsidRPr="009414E6">
        <w:rPr>
          <w:rFonts w:ascii="Arial" w:hAnsi="Arial" w:cs="Arial"/>
          <w:color w:val="202122"/>
          <w:sz w:val="22"/>
          <w:szCs w:val="22"/>
        </w:rPr>
        <w:t>.</w:t>
      </w:r>
    </w:p>
    <w:p w:rsidR="009414E6" w:rsidRDefault="009414E6" w:rsidP="009414E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0"/>
          <w:szCs w:val="20"/>
        </w:rPr>
      </w:pPr>
      <w:r w:rsidRPr="009414E6">
        <w:rPr>
          <w:rFonts w:ascii="Arial" w:hAnsi="Arial" w:cs="Arial"/>
          <w:b/>
          <w:color w:val="202122"/>
          <w:sz w:val="20"/>
          <w:szCs w:val="20"/>
        </w:rPr>
        <w:t>See videos:</w:t>
      </w:r>
    </w:p>
    <w:p w:rsidR="009414E6" w:rsidRDefault="009414E6" w:rsidP="00DD0AE7">
      <w:pPr>
        <w:ind w:left="720" w:firstLine="720"/>
      </w:pPr>
      <w:r>
        <w:rPr>
          <w:rFonts w:ascii="Cambria Math" w:hAnsi="Cambria Math" w:cs="Cambria Math"/>
        </w:rPr>
        <w:t>▶</w:t>
      </w:r>
      <w:r>
        <w:rPr>
          <w:rFonts w:ascii="Calibri" w:hAnsi="Calibri" w:cs="Calibri"/>
        </w:rPr>
        <w:t>️</w:t>
      </w:r>
      <w:r>
        <w:t> </w:t>
      </w:r>
      <w:hyperlink r:id="rId23" w:history="1">
        <w:r>
          <w:rPr>
            <w:rStyle w:val="Hyperlink"/>
          </w:rPr>
          <w:t>TVO BUXTON </w:t>
        </w:r>
        <w:r>
          <w:rPr>
            <w:rStyle w:val="Hyperlink"/>
            <w:rFonts w:ascii="Cambria Math" w:hAnsi="Cambria Math" w:cs="Cambria Math"/>
          </w:rPr>
          <w:t>◀</w:t>
        </w:r>
        <w:r>
          <w:rPr>
            <w:rStyle w:val="Hyperlink"/>
            <w:rFonts w:ascii="Calibri" w:hAnsi="Calibri" w:cs="Calibri"/>
          </w:rPr>
          <w:t>️</w:t>
        </w:r>
      </w:hyperlink>
      <w:r>
        <w:t xml:space="preserve">    </w:t>
      </w:r>
      <w:r>
        <w:rPr>
          <w:rFonts w:ascii="Cambria Math" w:hAnsi="Cambria Math" w:cs="Cambria Math"/>
        </w:rPr>
        <w:t>▶</w:t>
      </w:r>
      <w:r>
        <w:rPr>
          <w:rFonts w:ascii="Calibri" w:hAnsi="Calibri" w:cs="Calibri"/>
        </w:rPr>
        <w:t>️</w:t>
      </w:r>
      <w:proofErr w:type="gramStart"/>
      <w:r>
        <w:t>  </w:t>
      </w:r>
      <w:proofErr w:type="gramEnd"/>
      <w:hyperlink r:id="rId24" w:history="1">
        <w:r>
          <w:rPr>
            <w:rStyle w:val="Hyperlink"/>
          </w:rPr>
          <w:t>HOME TO BUXTON (1987)</w:t>
        </w:r>
        <w:r>
          <w:rPr>
            <w:rStyle w:val="Hyperlink"/>
            <w:rFonts w:ascii="Cambria Math" w:hAnsi="Cambria Math" w:cs="Cambria Math"/>
          </w:rPr>
          <w:t>◀</w:t>
        </w:r>
        <w:r>
          <w:rPr>
            <w:rStyle w:val="Hyperlink"/>
            <w:rFonts w:ascii="Calibri" w:hAnsi="Calibri" w:cs="Calibri"/>
          </w:rPr>
          <w:t>️</w:t>
        </w:r>
      </w:hyperlink>
    </w:p>
    <w:p w:rsidR="009414E6" w:rsidRPr="009414E6" w:rsidRDefault="009414E6" w:rsidP="009414E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0"/>
          <w:szCs w:val="20"/>
        </w:rPr>
      </w:pPr>
    </w:p>
    <w:p w:rsidR="009414E6" w:rsidRPr="009414E6" w:rsidRDefault="009414E6" w:rsidP="009414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9414E6" w:rsidRPr="009414E6" w:rsidRDefault="009414E6" w:rsidP="007F0DBF">
      <w:pPr>
        <w:jc w:val="center"/>
        <w:rPr>
          <w:rFonts w:ascii="Arial" w:hAnsi="Arial" w:cs="Arial"/>
          <w:b/>
          <w:sz w:val="28"/>
          <w:szCs w:val="28"/>
        </w:rPr>
      </w:pPr>
    </w:p>
    <w:sectPr w:rsidR="009414E6" w:rsidRPr="009414E6" w:rsidSect="00D2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DBF"/>
    <w:rsid w:val="007F0DBF"/>
    <w:rsid w:val="009414E6"/>
    <w:rsid w:val="00D25A03"/>
    <w:rsid w:val="00D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03"/>
  </w:style>
  <w:style w:type="paragraph" w:styleId="Heading1">
    <w:name w:val="heading 1"/>
    <w:basedOn w:val="Normal"/>
    <w:link w:val="Heading1Char"/>
    <w:uiPriority w:val="9"/>
    <w:qFormat/>
    <w:rsid w:val="0094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9414E6"/>
  </w:style>
  <w:style w:type="paragraph" w:styleId="NormalWeb">
    <w:name w:val="Normal (Web)"/>
    <w:basedOn w:val="Normal"/>
    <w:uiPriority w:val="99"/>
    <w:semiHidden/>
    <w:unhideWhenUsed/>
    <w:rsid w:val="009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uthwestern_Ontario" TargetMode="External"/><Relationship Id="rId13" Type="http://schemas.openxmlformats.org/officeDocument/2006/relationships/hyperlink" Target="https://en.wikipedia.org/wiki/Buxton_National_Historic_Site_and_Museum" TargetMode="External"/><Relationship Id="rId18" Type="http://schemas.openxmlformats.org/officeDocument/2006/relationships/hyperlink" Target="https://en.wikipedia.org/wiki/American_Civil_Wa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South_Buxton,_Ontario" TargetMode="External"/><Relationship Id="rId7" Type="http://schemas.openxmlformats.org/officeDocument/2006/relationships/hyperlink" Target="https://en.wikipedia.org/wiki/Governor_General" TargetMode="External"/><Relationship Id="rId12" Type="http://schemas.openxmlformats.org/officeDocument/2006/relationships/hyperlink" Target="https://en.wikipedia.org/wiki/Buxton_National_Historic_Site_and_Museum" TargetMode="External"/><Relationship Id="rId17" Type="http://schemas.openxmlformats.org/officeDocument/2006/relationships/hyperlink" Target="https://en.wikipedia.org/wiki/Buxton_National_Historic_Site_and_Museu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ssex_County,_Ontario" TargetMode="External"/><Relationship Id="rId20" Type="http://schemas.openxmlformats.org/officeDocument/2006/relationships/hyperlink" Target="https://en.wikipedia.org/wiki/North_Buxton,_Ontario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James_Bruce,_8th_Earl_of_Elgin" TargetMode="External"/><Relationship Id="rId11" Type="http://schemas.openxmlformats.org/officeDocument/2006/relationships/hyperlink" Target="https://en.wikipedia.org/wiki/Wikipedia:Citation_needed" TargetMode="External"/><Relationship Id="rId24" Type="http://schemas.openxmlformats.org/officeDocument/2006/relationships/hyperlink" Target="https://youtu.be/eYqPE6uI-XQ?si=OFPJ5uMXFEXU3YLI" TargetMode="External"/><Relationship Id="rId5" Type="http://schemas.openxmlformats.org/officeDocument/2006/relationships/hyperlink" Target="https://en.wikipedia.org/wiki/Buxton_National_Historic_Site_and_Museum" TargetMode="External"/><Relationship Id="rId15" Type="http://schemas.openxmlformats.org/officeDocument/2006/relationships/hyperlink" Target="https://en.wikipedia.org/wiki/Kent_County,_Ontario" TargetMode="External"/><Relationship Id="rId23" Type="http://schemas.openxmlformats.org/officeDocument/2006/relationships/hyperlink" Target="https://youtu.be/QNFJYPG7eeM?si=hyakafRARxkUAwaM" TargetMode="External"/><Relationship Id="rId10" Type="http://schemas.openxmlformats.org/officeDocument/2006/relationships/hyperlink" Target="https://en.wikipedia.org/wiki/Buxton_National_Historic_Site_and_Museum" TargetMode="External"/><Relationship Id="rId19" Type="http://schemas.openxmlformats.org/officeDocument/2006/relationships/hyperlink" Target="https://en.wikipedia.org/wiki/Buxton_National_Historic_Site_and_Museum" TargetMode="External"/><Relationship Id="rId4" Type="http://schemas.openxmlformats.org/officeDocument/2006/relationships/hyperlink" Target="https://en.wikipedia.org/wiki/William_King_(minister)" TargetMode="External"/><Relationship Id="rId9" Type="http://schemas.openxmlformats.org/officeDocument/2006/relationships/hyperlink" Target="https://en.wikipedia.org/wiki/Buxton_National_Historic_Site_and_Museum" TargetMode="External"/><Relationship Id="rId14" Type="http://schemas.openxmlformats.org/officeDocument/2006/relationships/hyperlink" Target="https://en.wikipedia.org/wiki/Underground_Railroad" TargetMode="External"/><Relationship Id="rId22" Type="http://schemas.openxmlformats.org/officeDocument/2006/relationships/hyperlink" Target="https://en.wikipedia.org/wiki/Chatham-Kent,_Ont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2024-01-27T15:39:00Z</dcterms:created>
  <dcterms:modified xsi:type="dcterms:W3CDTF">2024-01-27T16:01:00Z</dcterms:modified>
</cp:coreProperties>
</file>